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D6" w:rsidRDefault="004B6BCC" w:rsidP="005834D6">
      <w:pPr>
        <w:pStyle w:val="autor"/>
      </w:pPr>
      <w:r>
        <w:t>A</w:t>
      </w:r>
      <w:r w:rsidR="00BD53AC">
        <w:t>utor</w:t>
      </w:r>
    </w:p>
    <w:p w:rsidR="004B6BCC" w:rsidRDefault="004B6BCC" w:rsidP="004B6BCC">
      <w:pPr>
        <w:pStyle w:val="NazwaInstytucji"/>
        <w:spacing w:after="0"/>
      </w:pPr>
      <w:r>
        <w:t>Nazwa Instytucji</w:t>
      </w:r>
    </w:p>
    <w:p w:rsidR="004B6BCC" w:rsidRDefault="004B6BCC" w:rsidP="004B6BCC">
      <w:pPr>
        <w:pStyle w:val="NazwaInstytucji"/>
        <w:spacing w:after="0"/>
      </w:pPr>
      <w:r>
        <w:t>Adres</w:t>
      </w:r>
    </w:p>
    <w:p w:rsidR="005834D6" w:rsidRDefault="004B6BCC" w:rsidP="005834D6">
      <w:pPr>
        <w:pStyle w:val="NazwaInstytucji"/>
      </w:pPr>
      <w:r>
        <w:t>e-mail</w:t>
      </w:r>
      <w:r w:rsidR="005834D6" w:rsidRPr="005834D6">
        <w:t xml:space="preserve"> </w:t>
      </w:r>
    </w:p>
    <w:p w:rsidR="005834D6" w:rsidRPr="005834D6" w:rsidRDefault="004B6BCC" w:rsidP="005834D6">
      <w:pPr>
        <w:pStyle w:val="Tytu"/>
      </w:pPr>
      <w:r>
        <w:t>Tytuł</w:t>
      </w:r>
    </w:p>
    <w:p w:rsidR="005834D6" w:rsidRPr="007337E0" w:rsidRDefault="004B6BCC" w:rsidP="007337E0">
      <w:pPr>
        <w:pStyle w:val="Streszczenie"/>
      </w:pPr>
      <w:r w:rsidRPr="007337E0">
        <w:t>Streszczenie.</w:t>
      </w:r>
      <w:r w:rsidR="00BD53AC" w:rsidRPr="007337E0">
        <w:t xml:space="preserve"> </w:t>
      </w:r>
      <w:r w:rsidRPr="007337E0">
        <w:t>Osiem do dziesięciu linii streszczenia</w:t>
      </w:r>
    </w:p>
    <w:p w:rsidR="004B6BCC" w:rsidRPr="005834D6" w:rsidRDefault="004B6BCC" w:rsidP="005834D6">
      <w:pPr>
        <w:pStyle w:val="Streszczenie"/>
      </w:pPr>
      <w:r>
        <w:t>Słowa kluczowe.  Trzy do pięciu słów kluczowych</w:t>
      </w:r>
    </w:p>
    <w:p w:rsidR="005834D6" w:rsidRPr="005834D6" w:rsidRDefault="004B6BCC" w:rsidP="00E01AC9">
      <w:pPr>
        <w:pStyle w:val="rozdzia"/>
      </w:pPr>
      <w:r>
        <w:t>Rozdział</w:t>
      </w:r>
    </w:p>
    <w:p w:rsidR="005834D6" w:rsidRPr="005834D6" w:rsidRDefault="005834D6" w:rsidP="005834D6">
      <w:r w:rsidRPr="005834D6">
        <w:t>We współczesnym świecie informacja i komunikacja należą do najbardziej istotnych elementów życia społecznego. W literaturze komunikacja jest definiowana jako „proces, w którym uczestnicy tworzą i dzielą się ze sobą informacją po to, by osiągać wzajemne zrozumienie”</w:t>
      </w:r>
      <w:r w:rsidR="00B34637">
        <w:t xml:space="preserve"> </w:t>
      </w:r>
      <w:r w:rsidRPr="005834D6">
        <w:t xml:space="preserve"> [</w:t>
      </w:r>
      <w:r w:rsidR="001E7281">
        <w:t>2</w:t>
      </w:r>
      <w:r w:rsidRPr="005834D6">
        <w:t xml:space="preserve">]. </w:t>
      </w:r>
    </w:p>
    <w:p w:rsidR="00BD53AC" w:rsidRDefault="005834D6" w:rsidP="005834D6">
      <w:r w:rsidRPr="005834D6">
        <w:t>Na ogół w procesie komunikacji wyróżnia się:</w:t>
      </w:r>
    </w:p>
    <w:p w:rsidR="00BD53AC" w:rsidRDefault="005834D6" w:rsidP="00BD53AC">
      <w:pPr>
        <w:pStyle w:val="Akapitzlist"/>
        <w:numPr>
          <w:ilvl w:val="0"/>
          <w:numId w:val="17"/>
        </w:numPr>
      </w:pPr>
      <w:r w:rsidRPr="005834D6">
        <w:t xml:space="preserve"> nadawców, </w:t>
      </w:r>
    </w:p>
    <w:p w:rsidR="005834D6" w:rsidRPr="005834D6" w:rsidRDefault="005834D6" w:rsidP="00BD53AC">
      <w:pPr>
        <w:pStyle w:val="Akapitzlist"/>
        <w:numPr>
          <w:ilvl w:val="0"/>
          <w:numId w:val="18"/>
        </w:numPr>
      </w:pPr>
      <w:r w:rsidRPr="005834D6">
        <w:t xml:space="preserve">kanały (w tym środki i narzędzia informacji) oraz odbiorców. Wszystkie te elementy składają się na strukturę (proces) komunikacji, która powinna być dostosowana do realizacji określonych celów i zadań. </w:t>
      </w:r>
    </w:p>
    <w:p w:rsidR="005834D6" w:rsidRDefault="004B6BCC" w:rsidP="00E01AC9">
      <w:pPr>
        <w:pStyle w:val="podrozdzia"/>
      </w:pPr>
      <w:r>
        <w:t>P</w:t>
      </w:r>
      <w:r w:rsidR="00557F02" w:rsidRPr="00623B9D">
        <w:t>odrozdział</w:t>
      </w:r>
      <w:r w:rsidR="005834D6" w:rsidRPr="005834D6">
        <w:t xml:space="preserve"> </w:t>
      </w:r>
    </w:p>
    <w:p w:rsidR="005834D6" w:rsidRPr="005834D6" w:rsidRDefault="004B6BCC" w:rsidP="005834D6">
      <w:r>
        <w:t>P</w:t>
      </w:r>
      <w:r w:rsidR="005834D6" w:rsidRPr="005834D6">
        <w:t>owinna być skuteczność przekazywanych informacji. Skuteczność tą gwarantuje otrzymanie, zrozumienie i reakcja odbiorcy informacji na komunikat przygotowany i wysłany przez nadawcę</w:t>
      </w:r>
      <w:r w:rsidR="00B34637">
        <w:rPr>
          <w:rStyle w:val="Odwoanieprzypisudolnego"/>
        </w:rPr>
        <w:footnoteReference w:id="1"/>
      </w:r>
      <w:r w:rsidR="005834D6" w:rsidRPr="005834D6">
        <w:t xml:space="preserve"> informacji. Ważną cechą procesu komunikacji pozostaje kanał przepływu informacj</w:t>
      </w:r>
      <w:r w:rsidR="00DA385B">
        <w:t>i</w:t>
      </w:r>
      <w:r w:rsidR="00716008">
        <w:rPr>
          <w:rStyle w:val="Odwoanieprzypisudolnego"/>
        </w:rPr>
        <w:footnoteReference w:id="2"/>
      </w:r>
      <w:r w:rsidR="005834D6" w:rsidRPr="005834D6">
        <w:t xml:space="preserve"> oraz powtarzalność przekazywanych informacji. </w:t>
      </w:r>
    </w:p>
    <w:p w:rsidR="00BD53AC" w:rsidRDefault="004B6BCC" w:rsidP="00BD53AC">
      <w:pPr>
        <w:pStyle w:val="rozdzia"/>
      </w:pPr>
      <w:r>
        <w:lastRenderedPageBreak/>
        <w:t>Rozdział</w:t>
      </w:r>
    </w:p>
    <w:p w:rsidR="005834D6" w:rsidRPr="005834D6" w:rsidRDefault="004B6BCC" w:rsidP="00DA126C">
      <w:pPr>
        <w:spacing w:after="240"/>
      </w:pPr>
      <w:r w:rsidRPr="005834D6">
        <w:t xml:space="preserve">W literaturze proces </w:t>
      </w:r>
      <w:r w:rsidR="005834D6" w:rsidRPr="005834D6">
        <w:t>komunikacji przedstawiany jest za pomocą różnych modeli. Jednym z nich jest model zaproponowany B. Dobek-Ostrowskiej [1].</w:t>
      </w:r>
    </w:p>
    <w:p w:rsidR="00557F02" w:rsidRDefault="00526B61" w:rsidP="00DA126C">
      <w:pPr>
        <w:jc w:val="center"/>
      </w:pPr>
      <w:r>
        <w:rPr>
          <w:noProof/>
        </w:rPr>
        <w:drawing>
          <wp:inline distT="0" distB="0" distL="0" distR="0">
            <wp:extent cx="1606550" cy="1802765"/>
            <wp:effectExtent l="19050" t="0" r="0" b="0"/>
            <wp:docPr id="1" name="Obraz 1" descr="C:\Program Files\Microsoft Office\MEDIA\CAGCAT10\j03322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226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6C" w:rsidRPr="005834D6" w:rsidRDefault="00DA126C" w:rsidP="00DA126C">
      <w:pPr>
        <w:pStyle w:val="rysunek"/>
      </w:pPr>
      <w:r w:rsidRPr="005834D6">
        <w:t>Rys.1</w:t>
      </w:r>
      <w:r>
        <w:t xml:space="preserve"> Podpis pod rysunkiem</w:t>
      </w:r>
    </w:p>
    <w:p w:rsidR="005834D6" w:rsidRPr="005834D6" w:rsidRDefault="005834D6" w:rsidP="005834D6">
      <w:r w:rsidRPr="005834D6">
        <w:t>Model ten ma charakter linearny, co oznacza</w:t>
      </w:r>
      <w:r w:rsidR="00DA126C">
        <w:t>,</w:t>
      </w:r>
      <w:r w:rsidRPr="005834D6">
        <w:t xml:space="preserve"> że występuje tu jednokierunkowość oddziaływania. Model ten zawiera dwa zasadnicze elementy; nadawcę i odbiorcę, którzy wzajemnie na siebie wpływają. </w:t>
      </w:r>
    </w:p>
    <w:p w:rsidR="00635940" w:rsidRDefault="004B6BCC" w:rsidP="00DA126C">
      <w:pPr>
        <w:pStyle w:val="tabela"/>
      </w:pPr>
      <w:r>
        <w:t>T</w:t>
      </w:r>
      <w:r w:rsidR="00635940">
        <w:t xml:space="preserve">abela 1. </w:t>
      </w:r>
      <w:r>
        <w:t>Nazwa tabeli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69"/>
        <w:gridCol w:w="1878"/>
        <w:gridCol w:w="1878"/>
        <w:gridCol w:w="1878"/>
      </w:tblGrid>
      <w:tr w:rsidR="00635940" w:rsidTr="00635940">
        <w:tc>
          <w:tcPr>
            <w:tcW w:w="1769" w:type="dxa"/>
          </w:tcPr>
          <w:p w:rsidR="00635940" w:rsidRPr="00635940" w:rsidRDefault="00635940" w:rsidP="00635940">
            <w:pPr>
              <w:pStyle w:val="tabela"/>
            </w:pPr>
            <w:r w:rsidRPr="00635940"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</w:tr>
      <w:tr w:rsidR="00635940" w:rsidTr="00635940">
        <w:tc>
          <w:tcPr>
            <w:tcW w:w="1769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  <w:r>
              <w:t>15</w:t>
            </w:r>
          </w:p>
        </w:tc>
      </w:tr>
      <w:tr w:rsidR="00635940" w:rsidTr="00635940">
        <w:tc>
          <w:tcPr>
            <w:tcW w:w="1769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</w:tr>
      <w:tr w:rsidR="00635940" w:rsidTr="00635940">
        <w:tc>
          <w:tcPr>
            <w:tcW w:w="1769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</w:tr>
      <w:tr w:rsidR="00635940" w:rsidTr="00635940">
        <w:tc>
          <w:tcPr>
            <w:tcW w:w="1769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</w:tr>
      <w:tr w:rsidR="00635940" w:rsidTr="00635940">
        <w:tc>
          <w:tcPr>
            <w:tcW w:w="1769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  <w:tc>
          <w:tcPr>
            <w:tcW w:w="1878" w:type="dxa"/>
          </w:tcPr>
          <w:p w:rsidR="00635940" w:rsidRDefault="00635940" w:rsidP="00635940">
            <w:pPr>
              <w:pStyle w:val="tabela"/>
            </w:pPr>
          </w:p>
        </w:tc>
      </w:tr>
    </w:tbl>
    <w:p w:rsidR="005834D6" w:rsidRDefault="005834D6" w:rsidP="00DA126C">
      <w:pPr>
        <w:spacing w:before="240"/>
      </w:pPr>
      <w:r w:rsidRPr="005834D6">
        <w:t xml:space="preserve">Bank centralny (jako główna instytucja kształtująca warunki działania dla systemu finansowego) porozumiewając się z otoczeniem, wypracowuje własne, odpowiednie dla wyznaczonych celów i zadań, metody komunikacji. </w:t>
      </w:r>
    </w:p>
    <w:p w:rsidR="007337E0" w:rsidRDefault="00DA126C" w:rsidP="007337E0">
      <w:r>
        <w:t>W</w:t>
      </w:r>
      <w:r w:rsidR="005834D6" w:rsidRPr="005834D6">
        <w:t xml:space="preserve">pływa na gospodarkę (odbywa się proces komunikacji) w literaturze nazywa się mechanizmami transmisji impulsów polityki pieniężnej. Mechanizmy te mają za zadanie wysłanie impulsów polityki pieniężnej banku centralnego  (najczęściej o charakterze monetarnym) do jednostek i instytucji ekonomicznych o zmianie w narzędziach polityki pieniężnej. Mechanizmy te możemy podzielić na dwa etapy: </w:t>
      </w:r>
      <w:r w:rsidR="005834D6" w:rsidRPr="005834D6">
        <w:lastRenderedPageBreak/>
        <w:t xml:space="preserve">reakcji banków komercyjnych na zmiany w instrumentach polityki pieniężnej banku centralnego oraz reakcji podmiotów gospodarujących (przedsiębiorstw i gospodarstw domowych) na zmiany oprocentowania depozytów i kredytów w bankach komercyjnych. </w:t>
      </w:r>
    </w:p>
    <w:p w:rsidR="001E7281" w:rsidRPr="007337E0" w:rsidRDefault="00EF26A6" w:rsidP="007337E0">
      <w:pPr>
        <w:pStyle w:val="Wzr"/>
        <w:rPr>
          <w:rFonts w:ascii="Times New Roman" w:hAnsi="Times New Roman"/>
          <w:szCs w:val="22"/>
        </w:rPr>
      </w:pPr>
      <m:oMathPara>
        <m:oMath>
          <m:r>
            <w:rPr>
              <w:szCs w:val="22"/>
            </w:rPr>
            <m:t>y</m:t>
          </m:r>
          <m:r>
            <w:rPr>
              <w:szCs w:val="22"/>
            </w:rPr>
            <m:t>=</m:t>
          </m:r>
          <m:f>
            <m:fPr>
              <m:ctrlPr>
                <w:rPr>
                  <w:szCs w:val="22"/>
                </w:rPr>
              </m:ctrlPr>
            </m:fPr>
            <m:num>
              <m:r>
                <w:rPr>
                  <w:szCs w:val="22"/>
                </w:rPr>
                <m:t>x</m:t>
              </m:r>
              <m:r>
                <w:rPr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szCs w:val="22"/>
                    </w:rPr>
                  </m:ctrlPr>
                </m:radPr>
                <m:deg/>
                <m:e>
                  <m:r>
                    <w:rPr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szCs w:val="22"/>
                        </w:rPr>
                      </m:ctrlPr>
                    </m:sSupPr>
                    <m:e>
                      <m:r>
                        <w:rPr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szCs w:val="22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szCs w:val="22"/>
                        </w:rPr>
                      </m:ctrlPr>
                    </m:dPr>
                    <m:e>
                      <m:r>
                        <w:rPr>
                          <w:szCs w:val="22"/>
                        </w:rPr>
                        <m:t>1+</m:t>
                      </m:r>
                      <m:r>
                        <w:rPr>
                          <w:szCs w:val="22"/>
                        </w:rPr>
                        <m:t>x</m:t>
                      </m:r>
                    </m:e>
                  </m:d>
                </m:e>
                <m:sup>
                  <m:r>
                    <w:rPr>
                      <w:szCs w:val="22"/>
                    </w:rPr>
                    <m:t>n</m:t>
                  </m:r>
                </m:sup>
              </m:sSup>
              <m:r>
                <w:rPr>
                  <w:szCs w:val="22"/>
                </w:rPr>
                <m:t>=1+</m:t>
              </m:r>
              <m:f>
                <m:fPr>
                  <m:ctrlPr>
                    <w:rPr>
                      <w:szCs w:val="22"/>
                    </w:rPr>
                  </m:ctrlPr>
                </m:fPr>
                <m:num>
                  <m:r>
                    <w:rPr>
                      <w:szCs w:val="22"/>
                    </w:rPr>
                    <m:t>nx</m:t>
                  </m:r>
                </m:num>
                <m:den>
                  <m:r>
                    <w:rPr>
                      <w:szCs w:val="22"/>
                    </w:rPr>
                    <m:t>1!</m:t>
                  </m:r>
                </m:den>
              </m:f>
              <m:r>
                <w:rPr>
                  <w:szCs w:val="22"/>
                </w:rPr>
                <m:t>+</m:t>
              </m:r>
              <m:f>
                <m:fPr>
                  <m:ctrlPr>
                    <w:rPr>
                      <w:szCs w:val="22"/>
                    </w:rPr>
                  </m:ctrlPr>
                </m:fPr>
                <m:num>
                  <m:r>
                    <w:rPr>
                      <w:szCs w:val="22"/>
                    </w:rPr>
                    <m:t>n</m:t>
                  </m:r>
                  <m:d>
                    <m:dPr>
                      <m:ctrlPr>
                        <w:rPr>
                          <w:szCs w:val="22"/>
                        </w:rPr>
                      </m:ctrlPr>
                    </m:dPr>
                    <m:e>
                      <m:r>
                        <w:rPr>
                          <w:szCs w:val="22"/>
                        </w:rPr>
                        <m:t>n</m:t>
                      </m:r>
                      <m:r>
                        <w:rPr>
                          <w:szCs w:val="22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szCs w:val="22"/>
                        </w:rPr>
                      </m:ctrlPr>
                    </m:sSupPr>
                    <m:e>
                      <m:r>
                        <w:rPr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szCs w:val="22"/>
                    </w:rPr>
                    <m:t>2!</m:t>
                  </m:r>
                </m:den>
              </m:f>
              <m:r>
                <w:rPr>
                  <w:szCs w:val="22"/>
                </w:rPr>
                <m:t>+…</m:t>
              </m:r>
              <m:r>
                <w:rPr>
                  <w:szCs w:val="22"/>
                </w:rPr>
                <m:t>z</m:t>
              </m:r>
            </m:den>
          </m:f>
        </m:oMath>
      </m:oMathPara>
    </w:p>
    <w:p w:rsidR="00BD53AC" w:rsidRPr="005834D6" w:rsidRDefault="00BD53AC" w:rsidP="00BD53AC">
      <w:r w:rsidRPr="005834D6">
        <w:t xml:space="preserve">Model ten ma charakter linearny, co oznacza że występuje tu jednokierunkowość oddziaływania. Model ten zawiera dwa zasadnicze elementy; nadawcę i odbiorcę, którzy wzajemnie na siebie wpływają. </w:t>
      </w:r>
    </w:p>
    <w:p w:rsidR="00E01AC9" w:rsidRDefault="00BD53AC" w:rsidP="00635940">
      <w:r w:rsidRPr="005834D6">
        <w:t xml:space="preserve">Podobną funkcję komunikacja odgrywa w systemie finansowym. Jak wiemy najistotniejszą rolę w tym systemie odgrywa bank centralny, dlatego na nim spoczywa duża odpowiedzialność za proces komunikacji z rynkami finansowymi i społeczeństwem. Dotyczy to zwłaszcza banków centralnych realizujących strategię bezpośredniego celu inflacyjnego (skrót BCI), nastawioną na bardziej otwarty sposób komunikowania się z rynkami finansowymi (budowanie wiarygodności) oraz znaczne obniżenie inflacji w kolejnych latach. Służą do tego narzędzia komunikacji banku centralnego, które zostały zaprezentowane w artykule. Pewną funkcję w systemie finansowym odgrywa również instytucja statystyczna (jak np. w Polsce Główny Urząd Statystyczny), o której będzie mowa w ostatniej części artykułu. </w:t>
      </w:r>
    </w:p>
    <w:p w:rsidR="00E01AC9" w:rsidRPr="001E7281" w:rsidRDefault="004B6BCC" w:rsidP="001E7281">
      <w:pPr>
        <w:pStyle w:val="Literatura"/>
      </w:pPr>
      <w:r w:rsidRPr="001E7281">
        <w:t>Literatura</w:t>
      </w:r>
      <w:r w:rsidR="00BD53AC" w:rsidRPr="001E7281">
        <w:t xml:space="preserve"> </w:t>
      </w:r>
    </w:p>
    <w:p w:rsidR="001E7281" w:rsidRDefault="004B6BCC" w:rsidP="001E7281">
      <w:pPr>
        <w:pStyle w:val="opisbibliograficzny"/>
        <w:spacing w:after="0"/>
      </w:pPr>
      <w:r w:rsidRPr="004B6BCC">
        <w:t xml:space="preserve">Dobek-Ostrowska </w:t>
      </w:r>
      <w:r>
        <w:t xml:space="preserve">B. </w:t>
      </w:r>
      <w:r w:rsidRPr="004B6BCC">
        <w:t>(red.), Nauka o komunikowaniu. Podstawowe orientacje teoretyczne, Wydawnictwo Uniwersytetu Wrocławskiego, Wrocław 2001, s. 103.</w:t>
      </w:r>
    </w:p>
    <w:p w:rsidR="001E7281" w:rsidRDefault="001E7281" w:rsidP="001E7281">
      <w:pPr>
        <w:pStyle w:val="opisbibliograficzny"/>
        <w:spacing w:after="0"/>
      </w:pPr>
    </w:p>
    <w:p w:rsidR="001E7281" w:rsidRPr="004B6BCC" w:rsidRDefault="001E7281" w:rsidP="001E7281">
      <w:pPr>
        <w:pStyle w:val="opisbibliograficzny"/>
        <w:numPr>
          <w:ilvl w:val="0"/>
          <w:numId w:val="0"/>
        </w:numPr>
        <w:ind w:left="360" w:hanging="360"/>
      </w:pPr>
    </w:p>
    <w:p w:rsidR="00BD53AC" w:rsidRPr="005834D6" w:rsidRDefault="00BD53AC" w:rsidP="00BD53AC"/>
    <w:sectPr w:rsidR="00BD53AC" w:rsidRPr="005834D6" w:rsidSect="007B4B7E">
      <w:headerReference w:type="even" r:id="rId9"/>
      <w:headerReference w:type="default" r:id="rId10"/>
      <w:headerReference w:type="first" r:id="rId11"/>
      <w:pgSz w:w="9356" w:h="13325"/>
      <w:pgMar w:top="1134" w:right="851" w:bottom="102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B4" w:rsidRDefault="008F25B4" w:rsidP="00ED4F83">
      <w:r>
        <w:separator/>
      </w:r>
    </w:p>
  </w:endnote>
  <w:endnote w:type="continuationSeparator" w:id="0">
    <w:p w:rsidR="008F25B4" w:rsidRDefault="008F25B4" w:rsidP="00ED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B4" w:rsidRDefault="008F25B4" w:rsidP="00ED4F83">
      <w:r>
        <w:separator/>
      </w:r>
    </w:p>
  </w:footnote>
  <w:footnote w:type="continuationSeparator" w:id="0">
    <w:p w:rsidR="008F25B4" w:rsidRDefault="008F25B4" w:rsidP="00ED4F83">
      <w:r>
        <w:continuationSeparator/>
      </w:r>
    </w:p>
  </w:footnote>
  <w:footnote w:id="1">
    <w:p w:rsidR="00B34637" w:rsidRDefault="00B34637" w:rsidP="008E7F5C">
      <w:pPr>
        <w:pStyle w:val="przypisdolny"/>
      </w:pPr>
      <w:r>
        <w:rPr>
          <w:rStyle w:val="Odwoanieprzypisudolnego"/>
        </w:rPr>
        <w:footnoteRef/>
      </w:r>
      <w:r w:rsidR="00716008">
        <w:t xml:space="preserve"> </w:t>
      </w:r>
      <w:r w:rsidRPr="008E7F5C">
        <w:t>Skuteczność</w:t>
      </w:r>
      <w:r w:rsidRPr="005834D6">
        <w:t xml:space="preserve"> tą gwarantuje otrzymanie, </w:t>
      </w:r>
      <w:r w:rsidRPr="00B34637">
        <w:t>zrozumienie</w:t>
      </w:r>
      <w:r w:rsidRPr="005834D6">
        <w:t xml:space="preserve"> i reakcja odbiorcy informacji na komunikat przygotowany i wysłany przez nadawcę</w:t>
      </w:r>
      <w:r>
        <w:t xml:space="preserve"> </w:t>
      </w:r>
      <w:r w:rsidRPr="005834D6">
        <w:t xml:space="preserve"> informacji.</w:t>
      </w:r>
    </w:p>
  </w:footnote>
  <w:footnote w:id="2">
    <w:p w:rsidR="00716008" w:rsidRPr="00716008" w:rsidRDefault="00716008" w:rsidP="00716008">
      <w:pPr>
        <w:pStyle w:val="przypisdolny"/>
      </w:pPr>
      <w:r>
        <w:rPr>
          <w:rStyle w:val="Odwoanieprzypisudolnego"/>
        </w:rPr>
        <w:footnoteRef/>
      </w:r>
      <w:r>
        <w:t xml:space="preserve"> </w:t>
      </w:r>
      <w:r w:rsidR="004B6BCC">
        <w:t>K</w:t>
      </w:r>
      <w:r>
        <w:t>lasa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37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4B7E" w:rsidRDefault="00CD0690" w:rsidP="00BD19FE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567"/>
          </w:tabs>
          <w:ind w:firstLine="0"/>
          <w:rPr>
            <w:b/>
          </w:rPr>
        </w:pPr>
        <w:fldSimple w:instr=" PAGE   \* MERGEFORMAT ">
          <w:r w:rsidR="007337E0" w:rsidRPr="007337E0">
            <w:rPr>
              <w:b/>
              <w:noProof/>
            </w:rPr>
            <w:t>2</w:t>
          </w:r>
        </w:fldSimple>
        <w:r w:rsidR="007B4B7E">
          <w:rPr>
            <w:b/>
          </w:rPr>
          <w:t xml:space="preserve"> | </w:t>
        </w:r>
        <w:r w:rsidR="00BD19FE">
          <w:rPr>
            <w:b/>
          </w:rPr>
          <w:tab/>
        </w:r>
        <w:r w:rsidR="007B4B7E">
          <w:rPr>
            <w:rStyle w:val="ywapaginaZnak"/>
          </w:rPr>
          <w:t>autor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99377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7B4B7E" w:rsidRDefault="00BD19FE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rStyle w:val="ywapaginaZnak"/>
          </w:rPr>
          <w:t xml:space="preserve">tytuł </w:t>
        </w:r>
        <w:r w:rsidR="007B4B7E">
          <w:t xml:space="preserve">| </w:t>
        </w:r>
        <w:fldSimple w:instr=" PAGE   \* MERGEFORMAT ">
          <w:r w:rsidR="007337E0" w:rsidRPr="007337E0">
            <w:rPr>
              <w:b/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83" w:rsidRPr="00ED4F83" w:rsidRDefault="00ED4F83" w:rsidP="00ED4F8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68E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BA8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8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D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2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23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44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0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6C0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05CED"/>
    <w:multiLevelType w:val="hybridMultilevel"/>
    <w:tmpl w:val="CA2482F8"/>
    <w:lvl w:ilvl="0" w:tplc="0B5E7CE6">
      <w:start w:val="1"/>
      <w:numFmt w:val="decimal"/>
      <w:pStyle w:val="opisbibliograficzny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7D2173"/>
    <w:multiLevelType w:val="hybridMultilevel"/>
    <w:tmpl w:val="65165558"/>
    <w:lvl w:ilvl="0" w:tplc="811C822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E0244"/>
    <w:multiLevelType w:val="hybridMultilevel"/>
    <w:tmpl w:val="7F9CE0DA"/>
    <w:lvl w:ilvl="0" w:tplc="E53E3F3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CE94027"/>
    <w:multiLevelType w:val="hybridMultilevel"/>
    <w:tmpl w:val="9B0A663A"/>
    <w:lvl w:ilvl="0" w:tplc="6F60510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1534"/>
    <w:multiLevelType w:val="hybridMultilevel"/>
    <w:tmpl w:val="1BF62A14"/>
    <w:lvl w:ilvl="0" w:tplc="6EE851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380182"/>
    <w:multiLevelType w:val="hybridMultilevel"/>
    <w:tmpl w:val="0C462EAE"/>
    <w:lvl w:ilvl="0" w:tplc="0E4CE122">
      <w:start w:val="1"/>
      <w:numFmt w:val="decimal"/>
      <w:pStyle w:val="podrozdzia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76FF"/>
    <w:multiLevelType w:val="hybridMultilevel"/>
    <w:tmpl w:val="387088AE"/>
    <w:lvl w:ilvl="0" w:tplc="FABC9136">
      <w:start w:val="1"/>
      <w:numFmt w:val="decimal"/>
      <w:pStyle w:val="podrozdzia3"/>
      <w:lvlText w:val="1.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10033"/>
    <w:multiLevelType w:val="multilevel"/>
    <w:tmpl w:val="72AE18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>
    <w:nsid w:val="7346278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79EF2B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8"/>
  </w:num>
  <w:num w:numId="18">
    <w:abstractNumId w:val="14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3"/>
  </w:num>
  <w:num w:numId="23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1028"/>
  <w:stylePaneSortMethod w:val="00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26C"/>
    <w:rsid w:val="00010631"/>
    <w:rsid w:val="00040308"/>
    <w:rsid w:val="000926EC"/>
    <w:rsid w:val="001554C6"/>
    <w:rsid w:val="001E7281"/>
    <w:rsid w:val="00345D58"/>
    <w:rsid w:val="003B6B9D"/>
    <w:rsid w:val="003C054E"/>
    <w:rsid w:val="003F1D89"/>
    <w:rsid w:val="004B187A"/>
    <w:rsid w:val="004B6BCC"/>
    <w:rsid w:val="005224E1"/>
    <w:rsid w:val="00526358"/>
    <w:rsid w:val="00526B61"/>
    <w:rsid w:val="00557F02"/>
    <w:rsid w:val="005834D6"/>
    <w:rsid w:val="00607ADC"/>
    <w:rsid w:val="00623B9D"/>
    <w:rsid w:val="00635940"/>
    <w:rsid w:val="006D546C"/>
    <w:rsid w:val="00716008"/>
    <w:rsid w:val="007337E0"/>
    <w:rsid w:val="007B4B7E"/>
    <w:rsid w:val="007B7477"/>
    <w:rsid w:val="0082613C"/>
    <w:rsid w:val="008E7F5C"/>
    <w:rsid w:val="008F25B4"/>
    <w:rsid w:val="009C03AD"/>
    <w:rsid w:val="00B154B0"/>
    <w:rsid w:val="00B34637"/>
    <w:rsid w:val="00BD19FE"/>
    <w:rsid w:val="00BD53AC"/>
    <w:rsid w:val="00C25977"/>
    <w:rsid w:val="00CD0690"/>
    <w:rsid w:val="00D9657E"/>
    <w:rsid w:val="00DA126C"/>
    <w:rsid w:val="00DA385B"/>
    <w:rsid w:val="00DE4213"/>
    <w:rsid w:val="00E01AC9"/>
    <w:rsid w:val="00E048AB"/>
    <w:rsid w:val="00E71DFA"/>
    <w:rsid w:val="00ED4F83"/>
    <w:rsid w:val="00EF26A6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E0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rsid w:val="00E01AC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E01AC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AC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A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A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A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A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1A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1A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next w:val="Normalny"/>
    <w:qFormat/>
    <w:rsid w:val="003C054E"/>
    <w:pPr>
      <w:pageBreakBefore/>
      <w:suppressAutoHyphens/>
      <w:spacing w:before="120"/>
      <w:ind w:firstLine="0"/>
      <w:contextualSpacing/>
      <w:jc w:val="left"/>
    </w:pPr>
    <w:rPr>
      <w:b/>
      <w:i/>
      <w:sz w:val="24"/>
    </w:rPr>
  </w:style>
  <w:style w:type="paragraph" w:customStyle="1" w:styleId="NazwaInstytucji">
    <w:name w:val="Nazwa Instytucji"/>
    <w:basedOn w:val="Normalny"/>
    <w:qFormat/>
    <w:rsid w:val="00DA385B"/>
    <w:pPr>
      <w:suppressAutoHyphens/>
      <w:spacing w:after="360"/>
      <w:ind w:firstLine="0"/>
    </w:pPr>
    <w:rPr>
      <w:i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D4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F83"/>
  </w:style>
  <w:style w:type="paragraph" w:styleId="Tekstdymka">
    <w:name w:val="Balloon Text"/>
    <w:basedOn w:val="Normalny"/>
    <w:link w:val="TekstdymkaZnak"/>
    <w:uiPriority w:val="99"/>
    <w:semiHidden/>
    <w:unhideWhenUsed/>
    <w:rsid w:val="00ED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834D6"/>
    <w:pPr>
      <w:suppressAutoHyphens/>
      <w:spacing w:before="840" w:after="480" w:line="276" w:lineRule="auto"/>
      <w:ind w:firstLine="0"/>
      <w:contextualSpacing/>
      <w:jc w:val="center"/>
    </w:pPr>
    <w:rPr>
      <w:rFonts w:eastAsiaTheme="majorEastAsia" w:cstheme="majorBidi"/>
      <w:b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4D6"/>
    <w:rPr>
      <w:rFonts w:ascii="Times New Roman" w:eastAsiaTheme="majorEastAsia" w:hAnsi="Times New Roman" w:cstheme="majorBidi"/>
      <w:b/>
      <w:sz w:val="36"/>
      <w:szCs w:val="52"/>
    </w:rPr>
  </w:style>
  <w:style w:type="paragraph" w:customStyle="1" w:styleId="Streszczenie">
    <w:name w:val="Streszczenie"/>
    <w:basedOn w:val="Normalny"/>
    <w:qFormat/>
    <w:rsid w:val="0082613C"/>
    <w:pPr>
      <w:spacing w:before="360" w:after="360"/>
      <w:ind w:left="567" w:right="567" w:firstLine="0"/>
    </w:pPr>
    <w:rPr>
      <w:sz w:val="20"/>
    </w:rPr>
  </w:style>
  <w:style w:type="paragraph" w:customStyle="1" w:styleId="rozdzia">
    <w:name w:val="rozdział"/>
    <w:basedOn w:val="Normalny"/>
    <w:next w:val="Normalny"/>
    <w:link w:val="rozdziaZnak"/>
    <w:qFormat/>
    <w:rsid w:val="00526B61"/>
    <w:pPr>
      <w:numPr>
        <w:numId w:val="22"/>
      </w:numPr>
      <w:suppressAutoHyphens/>
      <w:spacing w:before="480" w:after="120"/>
      <w:ind w:left="284" w:hanging="284"/>
      <w:contextualSpacing/>
      <w:jc w:val="left"/>
    </w:pPr>
    <w:rPr>
      <w:b/>
      <w:sz w:val="28"/>
    </w:rPr>
  </w:style>
  <w:style w:type="paragraph" w:customStyle="1" w:styleId="podrozdzia">
    <w:name w:val="podrozdział"/>
    <w:next w:val="Normalny"/>
    <w:link w:val="podrozdziaZnak"/>
    <w:qFormat/>
    <w:rsid w:val="00526B61"/>
    <w:pPr>
      <w:numPr>
        <w:numId w:val="23"/>
      </w:numPr>
      <w:tabs>
        <w:tab w:val="left" w:pos="567"/>
      </w:tabs>
      <w:spacing w:before="360" w:line="240" w:lineRule="auto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podrozdzia3">
    <w:name w:val="podrozdział 3"/>
    <w:basedOn w:val="podrozdzia"/>
    <w:next w:val="Normalny"/>
    <w:link w:val="podrozdzia3Znak"/>
    <w:rsid w:val="00B34637"/>
    <w:pPr>
      <w:numPr>
        <w:numId w:val="5"/>
      </w:numPr>
      <w:ind w:left="680" w:hanging="680"/>
      <w:outlineLvl w:val="2"/>
    </w:pPr>
    <w:rPr>
      <w:sz w:val="22"/>
    </w:rPr>
  </w:style>
  <w:style w:type="paragraph" w:customStyle="1" w:styleId="streszczenie0">
    <w:name w:val="streszczenie"/>
    <w:basedOn w:val="Normalny"/>
    <w:next w:val="Normalny"/>
    <w:qFormat/>
    <w:rsid w:val="00607ADC"/>
    <w:pPr>
      <w:ind w:firstLine="0"/>
    </w:pPr>
    <w:rPr>
      <w:i/>
      <w:sz w:val="20"/>
    </w:rPr>
  </w:style>
  <w:style w:type="character" w:customStyle="1" w:styleId="rozdziaZnak">
    <w:name w:val="rozdział Znak"/>
    <w:basedOn w:val="Domylnaczcionkaakapitu"/>
    <w:link w:val="rozdzia"/>
    <w:rsid w:val="00526B61"/>
    <w:rPr>
      <w:rFonts w:ascii="Times New Roman" w:hAnsi="Times New Roman"/>
      <w:b/>
      <w:sz w:val="28"/>
    </w:rPr>
  </w:style>
  <w:style w:type="character" w:customStyle="1" w:styleId="podrozdziaZnak">
    <w:name w:val="podrozdział Znak"/>
    <w:basedOn w:val="rozdziaZnak"/>
    <w:link w:val="podrozdzia"/>
    <w:rsid w:val="00526B61"/>
    <w:rPr>
      <w:sz w:val="24"/>
    </w:rPr>
  </w:style>
  <w:style w:type="character" w:customStyle="1" w:styleId="podrozdzia3Znak">
    <w:name w:val="podrozdział 3 Znak"/>
    <w:basedOn w:val="podrozdziaZnak"/>
    <w:link w:val="podrozdzia3"/>
    <w:rsid w:val="00B34637"/>
  </w:style>
  <w:style w:type="paragraph" w:customStyle="1" w:styleId="Literatura">
    <w:name w:val="Literatura"/>
    <w:basedOn w:val="streszczenie0"/>
    <w:qFormat/>
    <w:rsid w:val="001E7281"/>
    <w:pPr>
      <w:spacing w:before="480"/>
    </w:pPr>
    <w:rPr>
      <w:b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6D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46C"/>
    <w:rPr>
      <w:rFonts w:ascii="Times New Roman" w:hAnsi="Times New Roman"/>
    </w:rPr>
  </w:style>
  <w:style w:type="paragraph" w:customStyle="1" w:styleId="ywapagina">
    <w:name w:val="żywa pagina"/>
    <w:link w:val="ywapaginaZnak"/>
    <w:qFormat/>
    <w:rsid w:val="007B4B7E"/>
    <w:pPr>
      <w:pBdr>
        <w:bottom w:val="single" w:sz="8" w:space="1" w:color="4F81BD" w:themeColor="accent1"/>
      </w:pBdr>
      <w:tabs>
        <w:tab w:val="left" w:pos="567"/>
      </w:tabs>
      <w:spacing w:after="0" w:line="240" w:lineRule="auto"/>
      <w:ind w:right="567"/>
      <w:mirrorIndents/>
    </w:pPr>
    <w:rPr>
      <w:rFonts w:ascii="Times New Roman" w:hAnsi="Times New Roman"/>
      <w:sz w:val="18"/>
    </w:rPr>
  </w:style>
  <w:style w:type="character" w:customStyle="1" w:styleId="ywapaginaZnak">
    <w:name w:val="żywa pagina Znak"/>
    <w:basedOn w:val="Domylnaczcionkaakapitu"/>
    <w:link w:val="ywapagina"/>
    <w:rsid w:val="007B4B7E"/>
    <w:rPr>
      <w:rFonts w:ascii="Times New Roman" w:hAnsi="Times New Roman"/>
      <w:sz w:val="18"/>
    </w:rPr>
  </w:style>
  <w:style w:type="paragraph" w:styleId="Akapitzlist">
    <w:name w:val="List Paragraph"/>
    <w:basedOn w:val="Normalny"/>
    <w:uiPriority w:val="34"/>
    <w:rsid w:val="00BD53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34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63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637"/>
    <w:rPr>
      <w:vertAlign w:val="superscript"/>
    </w:rPr>
  </w:style>
  <w:style w:type="paragraph" w:customStyle="1" w:styleId="przypisdolny">
    <w:name w:val="przypis dolny"/>
    <w:qFormat/>
    <w:rsid w:val="00716008"/>
    <w:pPr>
      <w:spacing w:after="120" w:line="24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A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A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1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1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ysunek">
    <w:name w:val="rysunek"/>
    <w:basedOn w:val="Normalny"/>
    <w:qFormat/>
    <w:rsid w:val="00DA126C"/>
    <w:pPr>
      <w:spacing w:before="360" w:after="120"/>
      <w:ind w:firstLine="0"/>
      <w:jc w:val="center"/>
    </w:pPr>
    <w:rPr>
      <w:sz w:val="20"/>
    </w:rPr>
  </w:style>
  <w:style w:type="paragraph" w:customStyle="1" w:styleId="rdo">
    <w:name w:val="źródło"/>
    <w:basedOn w:val="rysunek"/>
    <w:qFormat/>
    <w:rsid w:val="00526B61"/>
    <w:pPr>
      <w:spacing w:before="120" w:after="360"/>
    </w:pPr>
    <w:rPr>
      <w:i/>
    </w:rPr>
  </w:style>
  <w:style w:type="table" w:styleId="Tabela-Siatka">
    <w:name w:val="Table Grid"/>
    <w:basedOn w:val="Standardowy"/>
    <w:uiPriority w:val="59"/>
    <w:rsid w:val="0063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qFormat/>
    <w:rsid w:val="00DA126C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opisbibliograficzny">
    <w:name w:val="opis bibliograficzny"/>
    <w:basedOn w:val="rdo"/>
    <w:qFormat/>
    <w:rsid w:val="001E7281"/>
    <w:pPr>
      <w:numPr>
        <w:numId w:val="27"/>
      </w:numPr>
      <w:jc w:val="left"/>
    </w:pPr>
    <w:rPr>
      <w:i w:val="0"/>
    </w:rPr>
  </w:style>
  <w:style w:type="character" w:styleId="Tekstzastpczy">
    <w:name w:val="Placeholder Text"/>
    <w:basedOn w:val="Domylnaczcionkaakapitu"/>
    <w:uiPriority w:val="99"/>
    <w:semiHidden/>
    <w:rsid w:val="001E7281"/>
    <w:rPr>
      <w:color w:val="808080"/>
    </w:rPr>
  </w:style>
  <w:style w:type="paragraph" w:customStyle="1" w:styleId="Wzr">
    <w:name w:val="Wzór"/>
    <w:qFormat/>
    <w:rsid w:val="007337E0"/>
    <w:pPr>
      <w:spacing w:before="360" w:after="360"/>
    </w:pPr>
    <w:rPr>
      <w:rFonts w:ascii="Cambria Math" w:hAnsi="Cambria Math"/>
      <w:i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49C4"/>
    <w:rsid w:val="00694D7F"/>
    <w:rsid w:val="00F4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49C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C4E7-B98C-4FC5-94CD-081C3829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referatu (wydawnictwo polskie)</Template>
  <TotalTime>62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2012-03-26T16:29:00Z</dcterms:created>
  <dcterms:modified xsi:type="dcterms:W3CDTF">2012-03-26T17:31:00Z</dcterms:modified>
</cp:coreProperties>
</file>